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idact Gothic" w:cs="Didact Gothic" w:eastAsia="Didact Gothic" w:hAnsi="Didact Gothic"/>
          <w:b w:val="1"/>
          <w:sz w:val="96"/>
          <w:szCs w:val="96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6"/>
          <w:szCs w:val="26"/>
        </w:rPr>
        <w:drawing>
          <wp:inline distB="114300" distT="114300" distL="114300" distR="114300">
            <wp:extent cx="833645" cy="785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645" cy="785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appy Monkey" w:cs="Happy Monkey" w:eastAsia="Happy Monkey" w:hAnsi="Happy Monkey"/>
          <w:b w:val="1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Didact Gothic" w:cs="Didact Gothic" w:eastAsia="Didact Gothic" w:hAnsi="Didact Gothic"/>
          <w:b w:val="1"/>
          <w:sz w:val="96"/>
          <w:szCs w:val="96"/>
          <w:rtl w:val="0"/>
        </w:rPr>
        <w:t xml:space="preserve">Timber Lane ES</w:t>
      </w:r>
    </w:p>
    <w:p w:rsidR="00000000" w:rsidDel="00000000" w:rsidP="00000000" w:rsidRDefault="00000000" w:rsidRPr="00000000" w14:paraId="00000002">
      <w:pPr>
        <w:rPr>
          <w:rFonts w:ascii="Didact Gothic" w:cs="Didact Gothic" w:eastAsia="Didact Gothic" w:hAnsi="Didact Gothic"/>
          <w:b w:val="1"/>
          <w:sz w:val="26"/>
          <w:szCs w:val="26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32"/>
          <w:szCs w:val="32"/>
          <w:rtl w:val="0"/>
        </w:rPr>
        <w:t xml:space="preserve">Septiembre de 2020</w:t>
        <w:tab/>
        <w:t xml:space="preserve">     Boletín Informativo      </w:t>
        <w:tab/>
        <w:t xml:space="preserve">     Grado: 5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appy Monkey" w:cs="Happy Monkey" w:eastAsia="Happy Monkey" w:hAnsi="Happy Monkey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5400"/>
        <w:tblGridChange w:id="0">
          <w:tblGrid>
            <w:gridCol w:w="5355"/>
            <w:gridCol w:w="5400"/>
          </w:tblGrid>
        </w:tblGridChange>
      </w:tblGrid>
      <w:tr>
        <w:trPr>
          <w:trHeight w:val="4121.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32"/>
                <w:szCs w:val="32"/>
                <w:u w:val="single"/>
                <w:rtl w:val="0"/>
              </w:rPr>
              <w:t xml:space="preserve">Lectura y escritura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Hemos estado construyendo nuestras comunidades de aula como lectores y escritores: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-Reflexionando en los intereses de lectura y escritura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-Creando nuestros propios tableros de visión de escritura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-Compartiendo nuestros intereses y pasiones de lectura / escritura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-Explorando nuevos intereses tanto en lectura como en escritura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32"/>
                <w:szCs w:val="32"/>
                <w:u w:val="single"/>
                <w:rtl w:val="0"/>
              </w:rPr>
              <w:t xml:space="preserve">Estudios sociales y ciencias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En estudios sociales hemos estado trabajando en nuestros acuerdos de clase, creando nuestras esperanzas y sueños, compartiendo y aprendiendo mucho unos de otros.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¡En ciencia estamos aprendiendo sobre las capas de la Tierra, las corrientes de convección y los límites de las placas!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320" w:line="240" w:lineRule="auto"/>
              <w:ind w:left="0" w:firstLine="0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320" w:line="240" w:lineRule="auto"/>
              <w:ind w:left="0" w:firstLine="0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1.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32"/>
                <w:szCs w:val="32"/>
                <w:u w:val="single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!Estamos construyendo nuestra comunidad de matemáticos al compartir nuestro pensamiento sobre las rutinas del sentido numérico!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También estamos aprendiendo sobre: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0" w:firstLine="0"/>
              <w:jc w:val="left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        - Números pares e impares  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jc w:val="left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        -Números primos y compuestos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32"/>
                <w:szCs w:val="32"/>
                <w:u w:val="single"/>
                <w:rtl w:val="0"/>
              </w:rPr>
              <w:t xml:space="preserve">Matemáticas avanzadas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Estamos construyendo nuestra comunidad de matemáticos creando reglas de clase y compartiendo nuestro pensamiento sobre las rutinas de sentido numérico. Hemos estado aprendiendo sobre: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Leyendo y escribiendo ratios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Creando ratios equivalentes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Usar ratios en situaciones del mundo real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32"/>
                <w:szCs w:val="32"/>
                <w:u w:val="single"/>
                <w:rtl w:val="0"/>
              </w:rPr>
              <w:t xml:space="preserve">Fechas para recordar:</w:t>
            </w: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32"/>
                <w:szCs w:val="32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Regreso a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 Noche de Regreso a la escuela - 9/29/2020</w:t>
              <w:br w:type="textWrapping"/>
              <w:t xml:space="preserve">6:00, 6:45(en espanol), 7:30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32"/>
                <w:szCs w:val="32"/>
                <w:u w:val="single"/>
                <w:rtl w:val="0"/>
              </w:rPr>
              <w:t xml:space="preserve"> Recordatorios importantes: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* Los estudiantes deben registrarse todas las mañanas entre las 8:45 am y las 9:00 am. </w:t>
              <w:br w:type="textWrapping"/>
              <w:t xml:space="preserve">¡Comenzamos puntualmente a las 9:00 am!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* Los estudiantes deben tener un horario cerca para recordar las horas en las que deben iniciar sesión</w:t>
            </w:r>
          </w:p>
        </w:tc>
      </w:tr>
    </w:tbl>
    <w:p w:rsidR="00000000" w:rsidDel="00000000" w:rsidP="00000000" w:rsidRDefault="00000000" w:rsidRPr="00000000" w14:paraId="00000025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idact Gothic">
    <w:embedRegular w:fontKey="{00000000-0000-0000-0000-000000000000}" r:id="rId1" w:subsetted="0"/>
  </w:font>
  <w:font w:name="Happy Monkey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Relationship Id="rId2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